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Available standard detail sheets in Microstation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536CF786" w:rsidR="009D4E8E" w:rsidRDefault="0024464D" w:rsidP="009D4E8E">
      <w:pPr>
        <w:pStyle w:val="ListParagraph"/>
        <w:numPr>
          <w:ilvl w:val="0"/>
          <w:numId w:val="10"/>
        </w:numPr>
        <w:rPr>
          <w:rFonts w:ascii="Arial" w:hAnsi="Arial" w:cs="Arial"/>
        </w:rPr>
      </w:pPr>
      <w:r>
        <w:rPr>
          <w:rFonts w:ascii="Arial" w:hAnsi="Arial" w:cs="Arial"/>
        </w:rPr>
        <w:t xml:space="preserve">Topographic and Property </w:t>
      </w:r>
      <w:r w:rsidR="009D4E8E">
        <w:rPr>
          <w:rFonts w:ascii="Arial" w:hAnsi="Arial" w:cs="Arial"/>
        </w:rPr>
        <w:t xml:space="preserve">Survey </w:t>
      </w:r>
      <w:r w:rsidR="001F5BA9">
        <w:rPr>
          <w:rFonts w:ascii="Arial" w:hAnsi="Arial" w:cs="Arial"/>
        </w:rPr>
        <w:t xml:space="preserve">data and </w:t>
      </w:r>
      <w:r w:rsidR="009D4E8E">
        <w:rPr>
          <w:rFonts w:ascii="Arial" w:hAnsi="Arial" w:cs="Arial"/>
        </w:rPr>
        <w:t>control.</w:t>
      </w:r>
      <w:r w:rsidR="00A04491">
        <w:rPr>
          <w:rFonts w:ascii="Arial" w:hAnsi="Arial" w:cs="Arial"/>
        </w:rPr>
        <w:t xml:space="preserve"> </w:t>
      </w:r>
      <w:r w:rsidR="00371DAE">
        <w:rPr>
          <w:rFonts w:ascii="Arial" w:hAnsi="Arial" w:cs="Arial"/>
        </w:rPr>
        <w:t xml:space="preserve">Certified land tie for each project. </w:t>
      </w:r>
      <w:r w:rsidR="00A04491">
        <w:rPr>
          <w:rFonts w:ascii="Arial" w:hAnsi="Arial" w:cs="Arial"/>
        </w:rPr>
        <w:t xml:space="preserve">Data will be available by </w:t>
      </w:r>
      <w:r w:rsidR="00680BFA">
        <w:rPr>
          <w:rFonts w:ascii="Arial" w:hAnsi="Arial" w:cs="Arial"/>
        </w:rPr>
        <w:t>December 31, 2021</w:t>
      </w:r>
      <w:r w:rsidR="00A04491">
        <w:rPr>
          <w:rFonts w:ascii="Arial" w:hAnsi="Arial" w:cs="Arial"/>
        </w:rPr>
        <w:t>.</w:t>
      </w:r>
    </w:p>
    <w:p w14:paraId="001E6638" w14:textId="77777777" w:rsidR="009D4E8E" w:rsidRDefault="009D4E8E" w:rsidP="009D4E8E">
      <w:pPr>
        <w:pStyle w:val="ListParagraph"/>
        <w:numPr>
          <w:ilvl w:val="0"/>
          <w:numId w:val="10"/>
        </w:numPr>
        <w:rPr>
          <w:rFonts w:ascii="Arial" w:hAnsi="Arial" w:cs="Arial"/>
        </w:rPr>
      </w:pPr>
      <w:r>
        <w:rPr>
          <w:rFonts w:ascii="Arial" w:hAnsi="Arial" w:cs="Arial"/>
        </w:rPr>
        <w:t>All geotechnical work necessary for the project including the Preliminary Geotechnical Report and the final bridge soundings.</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legal descriptions, 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B67AB"/>
    <w:rsid w:val="001307CB"/>
    <w:rsid w:val="00166D1B"/>
    <w:rsid w:val="001F5BA9"/>
    <w:rsid w:val="0024464D"/>
    <w:rsid w:val="00247704"/>
    <w:rsid w:val="002D66ED"/>
    <w:rsid w:val="00317A7A"/>
    <w:rsid w:val="0033729B"/>
    <w:rsid w:val="00371DAE"/>
    <w:rsid w:val="003A6D14"/>
    <w:rsid w:val="003D591A"/>
    <w:rsid w:val="004F1AB2"/>
    <w:rsid w:val="00514047"/>
    <w:rsid w:val="00565E25"/>
    <w:rsid w:val="00643FD1"/>
    <w:rsid w:val="00680BFA"/>
    <w:rsid w:val="006B5BBF"/>
    <w:rsid w:val="007046C0"/>
    <w:rsid w:val="007870A5"/>
    <w:rsid w:val="007C0476"/>
    <w:rsid w:val="00844E91"/>
    <w:rsid w:val="00955E0C"/>
    <w:rsid w:val="009D4E8E"/>
    <w:rsid w:val="00A04491"/>
    <w:rsid w:val="00A0482D"/>
    <w:rsid w:val="00AE5CBE"/>
    <w:rsid w:val="00AF21E8"/>
    <w:rsid w:val="00B01844"/>
    <w:rsid w:val="00B04EA9"/>
    <w:rsid w:val="00B55B83"/>
    <w:rsid w:val="00BA6DE9"/>
    <w:rsid w:val="00BE535B"/>
    <w:rsid w:val="00D216BF"/>
    <w:rsid w:val="00DD24C4"/>
    <w:rsid w:val="00E12279"/>
    <w:rsid w:val="00E7040C"/>
    <w:rsid w:val="00EA163D"/>
    <w:rsid w:val="00EB744F"/>
    <w:rsid w:val="00F072D5"/>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BF1B12-4CD0-4832-A7BB-D6CFCFA7CB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2</cp:revision>
  <dcterms:created xsi:type="dcterms:W3CDTF">2021-08-11T13:02:00Z</dcterms:created>
  <dcterms:modified xsi:type="dcterms:W3CDTF">2021-08-11T13:02:00Z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